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3DE7CA23">
      <w:pPr>
        <w:pStyle w:val="Textoindependiente"/>
        <w:ind w:left="993" w:right="40" w:hanging="993"/>
        <w:rPr>
          <w:rFonts w:ascii="Work Sans" w:hAnsi="Work Sans"/>
          <w:lang w:val="es-ES"/>
        </w:rPr>
      </w:pPr>
      <w:r w:rsidRPr="3DE7CA23">
        <w:rPr>
          <w:rFonts w:ascii="Work Sans" w:hAnsi="Work Sans"/>
          <w:lang w:val="es-ES"/>
        </w:rPr>
        <w:t xml:space="preserve">Asunto: </w:t>
      </w:r>
      <w:r>
        <w:tab/>
      </w:r>
      <w:proofErr w:type="spellStart"/>
      <w:r w:rsidRPr="3DE7CA23">
        <w:rPr>
          <w:rFonts w:ascii="Work Sans" w:hAnsi="Work Sans"/>
          <w:lang w:val="es-ES"/>
        </w:rPr>
        <w:t>r_asunto</w:t>
      </w:r>
      <w:proofErr w:type="spellEnd"/>
    </w:p>
    <w:p w14:paraId="7F7EB8DF" w14:textId="77777777" w:rsidR="00DE1913" w:rsidRDefault="00DE1913">
      <w:pPr>
        <w:pStyle w:val="Textoindependiente"/>
        <w:ind w:right="40"/>
        <w:rPr>
          <w:rFonts w:ascii="Work Sans" w:hAnsi="Work Sans"/>
          <w:szCs w:val="24"/>
        </w:rPr>
      </w:pPr>
    </w:p>
    <w:p w14:paraId="4CC40423" w14:textId="77777777" w:rsidR="00BA2C3F" w:rsidRPr="00A3749D" w:rsidRDefault="00BA2C3F" w:rsidP="00484A5A">
      <w:pPr>
        <w:spacing w:line="240" w:lineRule="auto"/>
        <w:ind w:right="51"/>
        <w:contextualSpacing/>
        <w:jc w:val="both"/>
        <w:rPr>
          <w:rFonts w:ascii="Work Sans" w:hAnsi="Work Sans" w:cs="Arial"/>
          <w:sz w:val="24"/>
        </w:rPr>
      </w:pPr>
      <w:r w:rsidRPr="00A3749D">
        <w:rPr>
          <w:rFonts w:ascii="Work Sans" w:hAnsi="Work Sans" w:cs="Arial"/>
          <w:sz w:val="24"/>
        </w:rPr>
        <w:t>Respetado señor Velásquez,</w:t>
      </w:r>
    </w:p>
    <w:p w14:paraId="1AE900B3" w14:textId="77777777" w:rsidR="00BA2C3F" w:rsidRPr="00A3749D" w:rsidRDefault="00BA2C3F" w:rsidP="00484A5A">
      <w:pPr>
        <w:spacing w:line="240" w:lineRule="auto"/>
        <w:ind w:right="51"/>
        <w:contextualSpacing/>
        <w:jc w:val="both"/>
        <w:rPr>
          <w:rFonts w:ascii="Work Sans" w:hAnsi="Work Sans" w:cs="Arial"/>
          <w:sz w:val="24"/>
        </w:rPr>
      </w:pPr>
    </w:p>
    <w:p w14:paraId="7BC9BA9C" w14:textId="04C06CA9" w:rsidR="00BA2C3F" w:rsidRPr="00A3749D" w:rsidRDefault="00BA2C3F" w:rsidP="00484A5A">
      <w:pPr>
        <w:spacing w:line="240" w:lineRule="auto"/>
        <w:ind w:right="51"/>
        <w:contextualSpacing/>
        <w:jc w:val="both"/>
        <w:rPr>
          <w:rFonts w:ascii="Work Sans" w:hAnsi="Work Sans" w:cs="Arial"/>
          <w:sz w:val="24"/>
        </w:rPr>
      </w:pPr>
      <w:r w:rsidRPr="00A3749D">
        <w:rPr>
          <w:rFonts w:ascii="Work Sans" w:hAnsi="Work Sans" w:cs="Arial"/>
          <w:sz w:val="24"/>
        </w:rPr>
        <w:t xml:space="preserve">En atención a su comunicación </w:t>
      </w:r>
      <w:r w:rsidR="00A62B99" w:rsidRPr="00A3749D">
        <w:rPr>
          <w:rFonts w:ascii="Work Sans" w:hAnsi="Work Sans" w:cs="Arial"/>
          <w:sz w:val="24"/>
        </w:rPr>
        <w:t>identificada</w:t>
      </w:r>
      <w:r w:rsidRPr="00A3749D">
        <w:rPr>
          <w:rFonts w:ascii="Work Sans" w:hAnsi="Work Sans" w:cs="Arial"/>
          <w:sz w:val="24"/>
        </w:rPr>
        <w:t xml:space="preserve"> con el radicado señalado en el asunto, </w:t>
      </w:r>
      <w:r w:rsidR="00A62B99" w:rsidRPr="00A3749D">
        <w:rPr>
          <w:rFonts w:ascii="Work Sans" w:hAnsi="Work Sans" w:cs="Arial"/>
          <w:sz w:val="24"/>
        </w:rPr>
        <w:t xml:space="preserve">relacionada con el artículo 227 de la Ley </w:t>
      </w:r>
      <w:r w:rsidR="00563C0E" w:rsidRPr="00A3749D">
        <w:rPr>
          <w:rFonts w:ascii="Work Sans" w:hAnsi="Work Sans" w:cs="Arial"/>
          <w:sz w:val="24"/>
        </w:rPr>
        <w:t>1955 de 2019, damos respuesta a cada uno de los puntos de su solicitud así:</w:t>
      </w:r>
    </w:p>
    <w:p w14:paraId="7B7119A8" w14:textId="77777777" w:rsidR="00563C0E" w:rsidRDefault="00563C0E" w:rsidP="00484A5A">
      <w:pPr>
        <w:spacing w:line="240" w:lineRule="auto"/>
        <w:ind w:right="51"/>
        <w:contextualSpacing/>
        <w:jc w:val="both"/>
        <w:rPr>
          <w:rFonts w:ascii="Work Sans" w:hAnsi="Work Sans" w:cs="Arial"/>
          <w:sz w:val="24"/>
          <w:highlight w:val="yellow"/>
        </w:rPr>
      </w:pPr>
    </w:p>
    <w:p w14:paraId="31C78D71" w14:textId="307ABD1B" w:rsidR="00563C0E" w:rsidRDefault="00EC12A2" w:rsidP="008420CB">
      <w:pPr>
        <w:spacing w:line="240" w:lineRule="auto"/>
        <w:ind w:left="708" w:right="51"/>
        <w:contextualSpacing/>
        <w:jc w:val="both"/>
        <w:rPr>
          <w:rFonts w:ascii="Work Sans" w:hAnsi="Work Sans" w:cs="Arial"/>
          <w:i/>
          <w:iCs/>
          <w:szCs w:val="20"/>
        </w:rPr>
      </w:pPr>
      <w:r w:rsidRPr="00DE19F5">
        <w:rPr>
          <w:rFonts w:ascii="Work Sans" w:hAnsi="Work Sans" w:cs="Arial"/>
          <w:b/>
          <w:bCs/>
          <w:szCs w:val="20"/>
        </w:rPr>
        <w:t>1.</w:t>
      </w:r>
      <w:r w:rsidR="00DE19F5">
        <w:rPr>
          <w:rFonts w:ascii="Work Sans" w:hAnsi="Work Sans" w:cs="Arial"/>
          <w:i/>
          <w:iCs/>
          <w:szCs w:val="20"/>
        </w:rPr>
        <w:t xml:space="preserve"> </w:t>
      </w:r>
      <w:r w:rsidR="008420CB">
        <w:rPr>
          <w:rFonts w:ascii="Work Sans" w:hAnsi="Work Sans" w:cs="Arial"/>
          <w:i/>
          <w:iCs/>
          <w:szCs w:val="20"/>
        </w:rPr>
        <w:t>“</w:t>
      </w:r>
      <w:r w:rsidR="008420CB" w:rsidRPr="008420CB">
        <w:rPr>
          <w:rFonts w:ascii="Work Sans" w:hAnsi="Work Sans" w:cs="Arial"/>
          <w:i/>
          <w:iCs/>
          <w:szCs w:val="20"/>
        </w:rPr>
        <w:t>Confírmese si, conforme a la regulación vigente, un cliente que constituye un distrito de riego y desea acceder al subsidio del artículo 227 de la Ley 1955 de 2019 debe efectuar una migración formal al mercado no regulado (con los requisitos ordinarios de la Resolución CREG 131 de 1998 y demás normas concordantes), o si, por el contrario, basta con la clasificación especial obligatoria que el comercializador debe aplicar por mandato legal, sin que medie migración en el sentido tradicional.</w:t>
      </w:r>
      <w:r w:rsidR="008420CB">
        <w:rPr>
          <w:rFonts w:ascii="Work Sans" w:hAnsi="Work Sans" w:cs="Arial"/>
          <w:i/>
          <w:iCs/>
          <w:szCs w:val="20"/>
        </w:rPr>
        <w:t>”</w:t>
      </w:r>
    </w:p>
    <w:p w14:paraId="4ED0FFDD" w14:textId="77777777" w:rsidR="008420CB" w:rsidRDefault="008420CB" w:rsidP="009D448B">
      <w:pPr>
        <w:spacing w:line="240" w:lineRule="auto"/>
        <w:ind w:left="708" w:right="51"/>
        <w:contextualSpacing/>
        <w:jc w:val="center"/>
        <w:rPr>
          <w:rFonts w:ascii="Work Sans" w:hAnsi="Work Sans" w:cs="Arial"/>
          <w:i/>
          <w:iCs/>
          <w:szCs w:val="20"/>
        </w:rPr>
      </w:pPr>
    </w:p>
    <w:p w14:paraId="407F234D" w14:textId="41AFD0C4" w:rsidR="008420CB" w:rsidRDefault="008420CB" w:rsidP="008420CB">
      <w:pPr>
        <w:spacing w:line="240" w:lineRule="auto"/>
        <w:ind w:left="708" w:right="51"/>
        <w:contextualSpacing/>
        <w:jc w:val="both"/>
        <w:rPr>
          <w:rFonts w:ascii="Work Sans" w:hAnsi="Work Sans" w:cs="Arial"/>
          <w:sz w:val="24"/>
        </w:rPr>
      </w:pPr>
      <w:r w:rsidRPr="008420CB">
        <w:rPr>
          <w:rFonts w:ascii="Work Sans" w:hAnsi="Work Sans" w:cs="Arial"/>
          <w:b/>
          <w:bCs/>
          <w:sz w:val="24"/>
          <w:u w:val="single"/>
        </w:rPr>
        <w:t>Respuesta:</w:t>
      </w:r>
      <w:r w:rsidRPr="00AD51B2">
        <w:rPr>
          <w:rFonts w:ascii="Work Sans" w:hAnsi="Work Sans" w:cs="Arial"/>
          <w:sz w:val="24"/>
        </w:rPr>
        <w:t xml:space="preserve"> </w:t>
      </w:r>
      <w:r w:rsidR="00AD51B2" w:rsidRPr="00AD51B2">
        <w:rPr>
          <w:rFonts w:ascii="Work Sans" w:hAnsi="Work Sans" w:cs="Arial"/>
          <w:sz w:val="24"/>
        </w:rPr>
        <w:t xml:space="preserve">Es importante precisar que </w:t>
      </w:r>
      <w:r w:rsidR="00AD51B2">
        <w:rPr>
          <w:rFonts w:ascii="Work Sans" w:hAnsi="Work Sans" w:cs="Arial"/>
          <w:sz w:val="24"/>
        </w:rPr>
        <w:t xml:space="preserve">el artículo </w:t>
      </w:r>
      <w:r w:rsidR="00AD60CC">
        <w:rPr>
          <w:rFonts w:ascii="Work Sans" w:hAnsi="Work Sans" w:cs="Arial"/>
          <w:sz w:val="24"/>
        </w:rPr>
        <w:t>227 de la Ley 1955 de 2019 establece que:</w:t>
      </w:r>
    </w:p>
    <w:p w14:paraId="29B86765" w14:textId="77777777" w:rsidR="00AD60CC" w:rsidRDefault="00AD60CC" w:rsidP="008420CB">
      <w:pPr>
        <w:spacing w:line="240" w:lineRule="auto"/>
        <w:ind w:left="708" w:right="51"/>
        <w:contextualSpacing/>
        <w:jc w:val="both"/>
        <w:rPr>
          <w:rFonts w:ascii="Work Sans" w:hAnsi="Work Sans" w:cs="Arial"/>
          <w:sz w:val="28"/>
          <w:szCs w:val="24"/>
          <w:highlight w:val="yellow"/>
        </w:rPr>
      </w:pPr>
    </w:p>
    <w:p w14:paraId="29B96162" w14:textId="4B07665E" w:rsidR="00AD60CC" w:rsidRPr="00AD60CC" w:rsidRDefault="00AD60CC" w:rsidP="00AD60CC">
      <w:pPr>
        <w:spacing w:line="240" w:lineRule="auto"/>
        <w:ind w:left="1416" w:right="51"/>
        <w:contextualSpacing/>
        <w:jc w:val="both"/>
        <w:rPr>
          <w:rFonts w:ascii="Work Sans" w:hAnsi="Work Sans" w:cs="Arial"/>
          <w:i/>
          <w:iCs/>
          <w:szCs w:val="20"/>
        </w:rPr>
      </w:pPr>
      <w:r w:rsidRPr="00AD60CC">
        <w:rPr>
          <w:rFonts w:ascii="Work Sans" w:hAnsi="Work Sans" w:cs="Arial"/>
          <w:i/>
          <w:iCs/>
          <w:szCs w:val="20"/>
        </w:rPr>
        <w:t>“</w:t>
      </w:r>
      <w:r w:rsidRPr="00AD60CC">
        <w:rPr>
          <w:rFonts w:ascii="Work Sans" w:hAnsi="Work Sans" w:cs="Arial"/>
          <w:b/>
          <w:bCs/>
          <w:i/>
          <w:iCs/>
          <w:szCs w:val="20"/>
        </w:rPr>
        <w:t>ARTÍCULO</w:t>
      </w:r>
      <w:bookmarkStart w:id="0" w:name="227"/>
      <w:bookmarkEnd w:id="0"/>
      <w:r w:rsidRPr="00AD60CC">
        <w:rPr>
          <w:rFonts w:ascii="Work Sans" w:hAnsi="Work Sans" w:cs="Arial"/>
          <w:b/>
          <w:bCs/>
          <w:i/>
          <w:iCs/>
          <w:szCs w:val="20"/>
        </w:rPr>
        <w:t> 227. SUBSIDIO DE ENERGÍA PARA DISTRITOS DE RIEGO.</w:t>
      </w:r>
      <w:r w:rsidRPr="00AD60CC">
        <w:rPr>
          <w:rFonts w:ascii="Work Sans" w:hAnsi="Work Sans" w:cs="Arial"/>
          <w:i/>
          <w:iCs/>
          <w:szCs w:val="20"/>
        </w:rPr>
        <w:t xml:space="preserve"> La Nación asignará un monto de recursos destinados a cubrir el valor correspondiente a un porcentaje del cincuenta por ciento (50%) del costo de la energía eléctrica y gas natural que consuman los distritos de riego que utilicen equipos electromecánicos para su operación debidamente comprobado por las empresas prestadoras del servicio respectivo, de los usuarios de los distritos de riego y de los distritos de riego administrados </w:t>
      </w:r>
      <w:r w:rsidRPr="00AD60CC">
        <w:rPr>
          <w:rFonts w:ascii="Work Sans" w:hAnsi="Work Sans" w:cs="Arial"/>
          <w:i/>
          <w:iCs/>
          <w:szCs w:val="20"/>
        </w:rPr>
        <w:lastRenderedPageBreak/>
        <w:t>por el estado o por las Asociaciones de Usuarios debidamente reconocidos por el Ministerio de Agricultura y Desarrollo Rural.</w:t>
      </w:r>
    </w:p>
    <w:p w14:paraId="47D9A639" w14:textId="77777777" w:rsidR="00AD60CC" w:rsidRPr="00AD60CC" w:rsidRDefault="00AD60CC" w:rsidP="00AD60CC">
      <w:pPr>
        <w:spacing w:line="240" w:lineRule="auto"/>
        <w:ind w:left="1416" w:right="51"/>
        <w:contextualSpacing/>
        <w:jc w:val="both"/>
        <w:rPr>
          <w:rFonts w:ascii="Work Sans" w:hAnsi="Work Sans" w:cs="Arial"/>
          <w:i/>
          <w:iCs/>
          <w:szCs w:val="20"/>
        </w:rPr>
      </w:pPr>
      <w:r w:rsidRPr="00AD60CC">
        <w:rPr>
          <w:rFonts w:ascii="Work Sans" w:hAnsi="Work Sans" w:cs="Arial"/>
          <w:b/>
          <w:bCs/>
          <w:i/>
          <w:iCs/>
          <w:szCs w:val="20"/>
        </w:rPr>
        <w:t>PARÁGRAFO PRIMERO. </w:t>
      </w:r>
      <w:r w:rsidRPr="00AD60CC">
        <w:rPr>
          <w:rFonts w:ascii="Work Sans" w:hAnsi="Work Sans" w:cs="Arial"/>
          <w:i/>
          <w:iCs/>
          <w:szCs w:val="20"/>
        </w:rPr>
        <w:t>Para el caso de los usuarios de riego cuya facturación sea individual, este beneficio se otorgará sólo para aquellos que no posean más de cincuenta (50) hectáreas.</w:t>
      </w:r>
    </w:p>
    <w:p w14:paraId="03CAA656" w14:textId="77777777" w:rsidR="00AD60CC" w:rsidRPr="00AD60CC" w:rsidRDefault="00AD60CC" w:rsidP="00AD60CC">
      <w:pPr>
        <w:spacing w:line="240" w:lineRule="auto"/>
        <w:ind w:left="1416" w:right="51"/>
        <w:contextualSpacing/>
        <w:jc w:val="both"/>
        <w:rPr>
          <w:rFonts w:ascii="Work Sans" w:hAnsi="Work Sans" w:cs="Arial"/>
          <w:i/>
          <w:iCs/>
          <w:szCs w:val="20"/>
        </w:rPr>
      </w:pPr>
      <w:r w:rsidRPr="00AD60CC">
        <w:rPr>
          <w:rFonts w:ascii="Work Sans" w:hAnsi="Work Sans" w:cs="Arial"/>
          <w:b/>
          <w:bCs/>
          <w:i/>
          <w:iCs/>
          <w:szCs w:val="20"/>
        </w:rPr>
        <w:t>PARÁGRAFO SEGUNDO</w:t>
      </w:r>
      <w:r w:rsidRPr="00AD60CC">
        <w:rPr>
          <w:rFonts w:ascii="Work Sans" w:hAnsi="Work Sans" w:cs="Arial"/>
          <w:i/>
          <w:iCs/>
          <w:szCs w:val="20"/>
        </w:rPr>
        <w:t xml:space="preserve">. Para efectos de la clasificación de los usuarios del servicio de energía eléctrica y gas natural, según la Ley 142 de 1994, la utilización de estos servicios para el riego dirigido a la producción agropecuaria </w:t>
      </w:r>
      <w:r w:rsidRPr="00030297">
        <w:rPr>
          <w:rFonts w:ascii="Work Sans" w:hAnsi="Work Sans" w:cs="Arial"/>
          <w:b/>
          <w:bCs/>
          <w:i/>
          <w:iCs/>
          <w:szCs w:val="20"/>
          <w:u w:val="single"/>
        </w:rPr>
        <w:t>se clasificará dentro de la clase especial</w:t>
      </w:r>
      <w:r w:rsidRPr="00AD60CC">
        <w:rPr>
          <w:rFonts w:ascii="Work Sans" w:hAnsi="Work Sans" w:cs="Arial"/>
          <w:i/>
          <w:iCs/>
          <w:szCs w:val="20"/>
        </w:rPr>
        <w:t xml:space="preserve">, la cual no pagará contribución. Además, con el objeto de comercializar la energía eléctrica y el gas natural, los usuarios de los distritos de </w:t>
      </w:r>
      <w:proofErr w:type="gramStart"/>
      <w:r w:rsidRPr="00AD60CC">
        <w:rPr>
          <w:rFonts w:ascii="Work Sans" w:hAnsi="Work Sans" w:cs="Arial"/>
          <w:i/>
          <w:iCs/>
          <w:szCs w:val="20"/>
        </w:rPr>
        <w:t>riego,</w:t>
      </w:r>
      <w:proofErr w:type="gramEnd"/>
      <w:r w:rsidRPr="00AD60CC">
        <w:rPr>
          <w:rFonts w:ascii="Work Sans" w:hAnsi="Work Sans" w:cs="Arial"/>
          <w:i/>
          <w:iCs/>
          <w:szCs w:val="20"/>
        </w:rPr>
        <w:t xml:space="preserve"> </w:t>
      </w:r>
      <w:r w:rsidRPr="00030297">
        <w:rPr>
          <w:rFonts w:ascii="Work Sans" w:hAnsi="Work Sans" w:cs="Arial"/>
          <w:b/>
          <w:bCs/>
          <w:i/>
          <w:iCs/>
          <w:szCs w:val="20"/>
          <w:u w:val="single"/>
        </w:rPr>
        <w:t>se clasificarán como usuarios no regulados.</w:t>
      </w:r>
    </w:p>
    <w:p w14:paraId="105BEB9D" w14:textId="738940B8" w:rsidR="00AD60CC" w:rsidRPr="00AD60CC" w:rsidRDefault="00AD60CC" w:rsidP="00AD60CC">
      <w:pPr>
        <w:spacing w:line="240" w:lineRule="auto"/>
        <w:ind w:left="1416" w:right="51"/>
        <w:contextualSpacing/>
        <w:jc w:val="both"/>
        <w:rPr>
          <w:rFonts w:ascii="Work Sans" w:hAnsi="Work Sans" w:cs="Arial"/>
          <w:i/>
          <w:iCs/>
          <w:szCs w:val="20"/>
        </w:rPr>
      </w:pPr>
      <w:r w:rsidRPr="00AD60CC">
        <w:rPr>
          <w:rFonts w:ascii="Work Sans" w:hAnsi="Work Sans" w:cs="Arial"/>
          <w:b/>
          <w:bCs/>
          <w:i/>
          <w:iCs/>
          <w:szCs w:val="20"/>
        </w:rPr>
        <w:t>PARÁGRAFO TERCERO</w:t>
      </w:r>
      <w:r w:rsidRPr="00AD60CC">
        <w:rPr>
          <w:rFonts w:ascii="Work Sans" w:hAnsi="Work Sans" w:cs="Arial"/>
          <w:i/>
          <w:iCs/>
          <w:szCs w:val="20"/>
        </w:rPr>
        <w:t>. El subsidio aquí descrito tendrá vigencia a partir del 1 de enero del año 2019.”</w:t>
      </w:r>
    </w:p>
    <w:p w14:paraId="582079C1" w14:textId="27983A59" w:rsidR="00AD60CC" w:rsidRPr="00030297" w:rsidRDefault="00030297" w:rsidP="00030297">
      <w:pPr>
        <w:spacing w:line="240" w:lineRule="auto"/>
        <w:ind w:left="708" w:right="51" w:firstLine="708"/>
        <w:contextualSpacing/>
        <w:jc w:val="both"/>
        <w:rPr>
          <w:rFonts w:ascii="Work Sans" w:hAnsi="Work Sans" w:cs="Arial"/>
          <w:sz w:val="24"/>
          <w:szCs w:val="24"/>
        </w:rPr>
      </w:pPr>
      <w:r w:rsidRPr="00030297">
        <w:rPr>
          <w:rFonts w:ascii="Work Sans" w:hAnsi="Work Sans" w:cs="Arial"/>
          <w:sz w:val="24"/>
          <w:szCs w:val="24"/>
        </w:rPr>
        <w:t>(Subrayado y negrita fuera del texto original).</w:t>
      </w:r>
    </w:p>
    <w:p w14:paraId="6DF6FFC8" w14:textId="77777777" w:rsidR="00AD60CC" w:rsidRDefault="00AD60CC" w:rsidP="008420CB">
      <w:pPr>
        <w:spacing w:line="240" w:lineRule="auto"/>
        <w:ind w:left="708" w:right="51"/>
        <w:contextualSpacing/>
        <w:jc w:val="both"/>
        <w:rPr>
          <w:rFonts w:ascii="Work Sans" w:hAnsi="Work Sans" w:cs="Arial"/>
          <w:sz w:val="24"/>
          <w:szCs w:val="24"/>
        </w:rPr>
      </w:pPr>
    </w:p>
    <w:p w14:paraId="52F828A6" w14:textId="5005492D" w:rsidR="006C5A5F" w:rsidRDefault="006C5A5F" w:rsidP="008420CB">
      <w:pPr>
        <w:spacing w:line="240" w:lineRule="auto"/>
        <w:ind w:left="708" w:right="51"/>
        <w:contextualSpacing/>
        <w:jc w:val="both"/>
        <w:rPr>
          <w:rFonts w:ascii="Work Sans" w:hAnsi="Work Sans" w:cs="Arial"/>
          <w:sz w:val="24"/>
          <w:szCs w:val="24"/>
        </w:rPr>
      </w:pPr>
      <w:r>
        <w:rPr>
          <w:rFonts w:ascii="Work Sans" w:hAnsi="Work Sans" w:cs="Arial"/>
          <w:sz w:val="24"/>
          <w:szCs w:val="24"/>
        </w:rPr>
        <w:t>Adicionalmente</w:t>
      </w:r>
      <w:r w:rsidR="007F664C">
        <w:rPr>
          <w:rFonts w:ascii="Work Sans" w:hAnsi="Work Sans" w:cs="Arial"/>
          <w:sz w:val="24"/>
          <w:szCs w:val="24"/>
        </w:rPr>
        <w:t>,</w:t>
      </w:r>
      <w:r>
        <w:rPr>
          <w:rFonts w:ascii="Work Sans" w:hAnsi="Work Sans" w:cs="Arial"/>
          <w:sz w:val="24"/>
          <w:szCs w:val="24"/>
        </w:rPr>
        <w:t xml:space="preserve"> el Concepto </w:t>
      </w:r>
      <w:r w:rsidR="007F664C" w:rsidRPr="007F664C">
        <w:rPr>
          <w:rFonts w:ascii="Work Sans" w:hAnsi="Work Sans" w:cs="Arial"/>
          <w:sz w:val="24"/>
          <w:szCs w:val="24"/>
        </w:rPr>
        <w:t>CREG 13753 del 19 de noviembre de 2025</w:t>
      </w:r>
      <w:r w:rsidR="007F664C">
        <w:rPr>
          <w:rFonts w:ascii="Work Sans" w:hAnsi="Work Sans" w:cs="Arial"/>
          <w:sz w:val="24"/>
          <w:szCs w:val="24"/>
        </w:rPr>
        <w:t>, indicó que:</w:t>
      </w:r>
    </w:p>
    <w:p w14:paraId="0F59E33F" w14:textId="77777777" w:rsidR="007F664C" w:rsidRDefault="007F664C" w:rsidP="008420CB">
      <w:pPr>
        <w:spacing w:line="240" w:lineRule="auto"/>
        <w:ind w:left="708" w:right="51"/>
        <w:contextualSpacing/>
        <w:jc w:val="both"/>
        <w:rPr>
          <w:rFonts w:ascii="Work Sans" w:hAnsi="Work Sans" w:cs="Arial"/>
          <w:sz w:val="24"/>
          <w:szCs w:val="24"/>
        </w:rPr>
      </w:pPr>
    </w:p>
    <w:p w14:paraId="702B3523" w14:textId="77777777" w:rsidR="00875216" w:rsidRDefault="00113B00" w:rsidP="00113B00">
      <w:pPr>
        <w:spacing w:line="240" w:lineRule="auto"/>
        <w:ind w:left="1416" w:right="51"/>
        <w:contextualSpacing/>
        <w:jc w:val="both"/>
        <w:rPr>
          <w:rFonts w:ascii="Work Sans" w:hAnsi="Work Sans" w:cs="Arial"/>
          <w:i/>
          <w:iCs/>
        </w:rPr>
      </w:pPr>
      <w:r>
        <w:rPr>
          <w:rFonts w:ascii="Work Sans" w:hAnsi="Work Sans" w:cs="Arial"/>
          <w:i/>
          <w:iCs/>
        </w:rPr>
        <w:t>“</w:t>
      </w:r>
      <w:r w:rsidR="00875216">
        <w:rPr>
          <w:rFonts w:ascii="Work Sans" w:hAnsi="Work Sans" w:cs="Arial"/>
          <w:i/>
          <w:iCs/>
        </w:rPr>
        <w:t xml:space="preserve">(…) </w:t>
      </w:r>
    </w:p>
    <w:p w14:paraId="1BB67D78" w14:textId="7F7615B1" w:rsidR="0023347F" w:rsidRPr="00113B00" w:rsidRDefault="0023347F" w:rsidP="00113B00">
      <w:pPr>
        <w:spacing w:line="240" w:lineRule="auto"/>
        <w:ind w:left="1416" w:right="51"/>
        <w:contextualSpacing/>
        <w:jc w:val="both"/>
        <w:rPr>
          <w:rFonts w:ascii="Work Sans" w:hAnsi="Work Sans" w:cs="Arial"/>
          <w:i/>
          <w:iCs/>
        </w:rPr>
      </w:pPr>
      <w:r w:rsidRPr="00113B00">
        <w:rPr>
          <w:rFonts w:ascii="Work Sans" w:hAnsi="Work Sans" w:cs="Arial"/>
          <w:i/>
          <w:iCs/>
        </w:rPr>
        <w:t xml:space="preserve">Así las cosas, el artículo 227 de la Ley 1955 de 2019 concedió el citado subsidio con la finalidad aumentar la competitividad en el sector agropecuario y permitirles a los distritos de riego gestionar e incorporar eficiencias en la compra de energía eléctrica, tal y como lo puede hacer actualmente un Usuario No Regulado. </w:t>
      </w:r>
      <w:r w:rsidRPr="00113B00">
        <w:rPr>
          <w:rFonts w:ascii="Work Sans" w:hAnsi="Work Sans" w:cs="Arial"/>
          <w:b/>
          <w:bCs/>
          <w:i/>
          <w:iCs/>
          <w:u w:val="single"/>
        </w:rPr>
        <w:t>Adicionalmente, para que la medida fuera afectiva, los distritos de riego no están obligados a cumplir con los límites de potencia o consumo de energía establecidos en la Resolución CREG 131 de 1998.</w:t>
      </w:r>
    </w:p>
    <w:p w14:paraId="42F8233C" w14:textId="77777777" w:rsidR="0023347F" w:rsidRPr="00113B00" w:rsidRDefault="0023347F" w:rsidP="00113B00">
      <w:pPr>
        <w:spacing w:line="240" w:lineRule="auto"/>
        <w:ind w:left="1416" w:right="51"/>
        <w:contextualSpacing/>
        <w:jc w:val="both"/>
        <w:rPr>
          <w:rFonts w:ascii="Work Sans" w:hAnsi="Work Sans" w:cs="Arial"/>
          <w:i/>
          <w:iCs/>
        </w:rPr>
      </w:pPr>
    </w:p>
    <w:p w14:paraId="02ED0D5B" w14:textId="446C88F1" w:rsidR="007F664C" w:rsidRPr="00113B00" w:rsidRDefault="0023347F" w:rsidP="00113B00">
      <w:pPr>
        <w:spacing w:line="240" w:lineRule="auto"/>
        <w:ind w:left="1416" w:right="51"/>
        <w:contextualSpacing/>
        <w:jc w:val="both"/>
        <w:rPr>
          <w:rFonts w:ascii="Work Sans" w:hAnsi="Work Sans" w:cs="Arial"/>
          <w:i/>
          <w:iCs/>
        </w:rPr>
      </w:pPr>
      <w:r w:rsidRPr="00113B00">
        <w:rPr>
          <w:rFonts w:ascii="Work Sans" w:hAnsi="Work Sans" w:cs="Arial"/>
          <w:i/>
          <w:iCs/>
        </w:rPr>
        <w:t xml:space="preserve">No obstante lo anterior, para gestionar sus compras de energía, </w:t>
      </w:r>
      <w:r w:rsidRPr="00875216">
        <w:rPr>
          <w:rFonts w:ascii="Work Sans" w:hAnsi="Work Sans" w:cs="Arial"/>
          <w:b/>
          <w:bCs/>
          <w:i/>
          <w:iCs/>
          <w:u w:val="single"/>
        </w:rPr>
        <w:t>cualquier distrito de riego que quiera acceder al subsidio sobre su consumo, está obligado a celebrar un contrato de suministro con un agente comercializador, quien es el responsable de clasificarlo como usuario especial y Usuario No Regulado,</w:t>
      </w:r>
      <w:r w:rsidRPr="00113B00">
        <w:rPr>
          <w:rFonts w:ascii="Work Sans" w:hAnsi="Work Sans" w:cs="Arial"/>
          <w:i/>
          <w:iCs/>
        </w:rPr>
        <w:t xml:space="preserve"> aplicar el subsidio e incluirlo en su respectivo reporte de facturación con la finalidad de recibir el correspondiente giro por parte del Ministerio de Minas y Energía por concepto de los valores adeudados por la Nación. Siendo lo anterior aplicado sobre el consumo facturable como se mencionó en la primera parte de la respuesta.</w:t>
      </w:r>
    </w:p>
    <w:p w14:paraId="445B0156" w14:textId="77777777" w:rsidR="00113B00" w:rsidRPr="00113B00" w:rsidRDefault="00113B00" w:rsidP="00113B00">
      <w:pPr>
        <w:spacing w:line="240" w:lineRule="auto"/>
        <w:ind w:left="1416" w:right="51"/>
        <w:contextualSpacing/>
        <w:jc w:val="both"/>
        <w:rPr>
          <w:rFonts w:ascii="Work Sans" w:hAnsi="Work Sans" w:cs="Arial"/>
          <w:i/>
          <w:iCs/>
        </w:rPr>
      </w:pPr>
    </w:p>
    <w:p w14:paraId="6109F964" w14:textId="0482388F" w:rsidR="00113B00" w:rsidRDefault="00113B00" w:rsidP="00113B00">
      <w:pPr>
        <w:spacing w:line="240" w:lineRule="auto"/>
        <w:ind w:left="1416" w:right="51"/>
        <w:contextualSpacing/>
        <w:jc w:val="both"/>
        <w:rPr>
          <w:rFonts w:ascii="Work Sans" w:hAnsi="Work Sans" w:cs="Arial"/>
          <w:i/>
          <w:iCs/>
        </w:rPr>
      </w:pPr>
      <w:r w:rsidRPr="00113B00">
        <w:rPr>
          <w:rFonts w:ascii="Work Sans" w:hAnsi="Work Sans" w:cs="Arial"/>
          <w:i/>
          <w:iCs/>
        </w:rPr>
        <w:lastRenderedPageBreak/>
        <w:t>Finalmente, los distritos de riego que opten por acceder a los beneficios antes descritos, para la medición de sus consumos deberán contar con el respectivo sistema de medición y cumplir con toda regulación vigente, en especial, lo dispuesto en las Resoluciones CREG 156 y 157 de 2015 y 038 de 2014.</w:t>
      </w:r>
      <w:r>
        <w:rPr>
          <w:rFonts w:ascii="Work Sans" w:hAnsi="Work Sans" w:cs="Arial"/>
          <w:i/>
          <w:iCs/>
        </w:rPr>
        <w:t>”</w:t>
      </w:r>
    </w:p>
    <w:p w14:paraId="478A0945" w14:textId="77777777" w:rsidR="007968CA" w:rsidRPr="00030297" w:rsidRDefault="007968CA" w:rsidP="007968CA">
      <w:pPr>
        <w:spacing w:line="240" w:lineRule="auto"/>
        <w:ind w:left="708" w:right="51" w:firstLine="708"/>
        <w:contextualSpacing/>
        <w:jc w:val="both"/>
        <w:rPr>
          <w:rFonts w:ascii="Work Sans" w:hAnsi="Work Sans" w:cs="Arial"/>
          <w:sz w:val="24"/>
          <w:szCs w:val="24"/>
        </w:rPr>
      </w:pPr>
      <w:r w:rsidRPr="00030297">
        <w:rPr>
          <w:rFonts w:ascii="Work Sans" w:hAnsi="Work Sans" w:cs="Arial"/>
          <w:sz w:val="24"/>
          <w:szCs w:val="24"/>
        </w:rPr>
        <w:t>(Subrayado y negrita fuera del texto original).</w:t>
      </w:r>
    </w:p>
    <w:p w14:paraId="79EB00C9" w14:textId="77777777" w:rsidR="007968CA" w:rsidRDefault="007968CA" w:rsidP="007968CA">
      <w:pPr>
        <w:spacing w:line="240" w:lineRule="auto"/>
        <w:ind w:right="51"/>
        <w:contextualSpacing/>
        <w:jc w:val="both"/>
        <w:rPr>
          <w:rFonts w:ascii="Work Sans" w:hAnsi="Work Sans" w:cs="Arial"/>
          <w:i/>
          <w:iCs/>
        </w:rPr>
      </w:pPr>
    </w:p>
    <w:p w14:paraId="68AB79EE" w14:textId="3B7807EC" w:rsidR="007968CA" w:rsidRDefault="007968CA" w:rsidP="007968CA">
      <w:pPr>
        <w:spacing w:line="240" w:lineRule="auto"/>
        <w:ind w:left="708" w:right="51"/>
        <w:contextualSpacing/>
        <w:jc w:val="both"/>
        <w:rPr>
          <w:rFonts w:ascii="Work Sans" w:hAnsi="Work Sans" w:cs="Arial"/>
          <w:sz w:val="24"/>
          <w:szCs w:val="24"/>
        </w:rPr>
      </w:pPr>
      <w:r w:rsidRPr="007968CA">
        <w:rPr>
          <w:rFonts w:ascii="Work Sans" w:hAnsi="Work Sans" w:cs="Arial"/>
          <w:sz w:val="24"/>
          <w:szCs w:val="24"/>
        </w:rPr>
        <w:t>Por su parte</w:t>
      </w:r>
      <w:r>
        <w:rPr>
          <w:rFonts w:ascii="Work Sans" w:hAnsi="Work Sans" w:cs="Arial"/>
          <w:sz w:val="24"/>
          <w:szCs w:val="24"/>
        </w:rPr>
        <w:t xml:space="preserve">, el artículo 1 de la Resolución CREG 131 de 1998, estableció que: </w:t>
      </w:r>
    </w:p>
    <w:p w14:paraId="2936CA3A" w14:textId="77777777" w:rsidR="007968CA" w:rsidRPr="007968CA" w:rsidRDefault="007968CA" w:rsidP="007968CA">
      <w:pPr>
        <w:spacing w:line="240" w:lineRule="auto"/>
        <w:ind w:left="708" w:right="51"/>
        <w:contextualSpacing/>
        <w:jc w:val="both"/>
        <w:rPr>
          <w:rFonts w:ascii="Work Sans" w:hAnsi="Work Sans" w:cs="Arial"/>
          <w:i/>
          <w:iCs/>
          <w:sz w:val="24"/>
          <w:szCs w:val="24"/>
        </w:rPr>
      </w:pPr>
    </w:p>
    <w:p w14:paraId="0582906C" w14:textId="2EDDDF5E" w:rsidR="007968CA" w:rsidRPr="007968CA" w:rsidRDefault="007968CA" w:rsidP="007968CA">
      <w:pPr>
        <w:spacing w:line="240" w:lineRule="auto"/>
        <w:ind w:left="1416" w:right="51"/>
        <w:contextualSpacing/>
        <w:jc w:val="both"/>
        <w:rPr>
          <w:rFonts w:ascii="Work Sans" w:hAnsi="Work Sans" w:cs="Arial"/>
          <w:i/>
          <w:iCs/>
        </w:rPr>
      </w:pPr>
      <w:r w:rsidRPr="007968CA">
        <w:rPr>
          <w:rFonts w:ascii="Work Sans" w:hAnsi="Work Sans" w:cs="Arial"/>
          <w:b/>
          <w:bCs/>
          <w:i/>
          <w:iCs/>
        </w:rPr>
        <w:t xml:space="preserve">“Artículo 1º. </w:t>
      </w:r>
      <w:r w:rsidRPr="007968CA">
        <w:rPr>
          <w:rFonts w:ascii="Work Sans" w:hAnsi="Work Sans" w:cs="Arial"/>
          <w:i/>
          <w:iCs/>
        </w:rPr>
        <w:t>Definiciones. Para efectos de la presente resolución se adoptan las siguientes definiciones: </w:t>
      </w:r>
    </w:p>
    <w:p w14:paraId="7CEB3E9F" w14:textId="77777777" w:rsidR="007968CA" w:rsidRPr="007968CA" w:rsidRDefault="007968CA" w:rsidP="007968CA">
      <w:pPr>
        <w:spacing w:line="240" w:lineRule="auto"/>
        <w:ind w:left="1416" w:right="51"/>
        <w:contextualSpacing/>
        <w:jc w:val="both"/>
        <w:rPr>
          <w:rFonts w:ascii="Work Sans" w:hAnsi="Work Sans" w:cs="Arial"/>
          <w:i/>
          <w:iCs/>
        </w:rPr>
      </w:pPr>
      <w:r w:rsidRPr="007968CA">
        <w:rPr>
          <w:rFonts w:ascii="Work Sans" w:hAnsi="Work Sans" w:cs="Arial"/>
          <w:i/>
          <w:iCs/>
        </w:rPr>
        <w:t>  </w:t>
      </w:r>
    </w:p>
    <w:p w14:paraId="67CE4D39" w14:textId="77777777" w:rsidR="007968CA" w:rsidRPr="007968CA" w:rsidRDefault="007968CA" w:rsidP="007968CA">
      <w:pPr>
        <w:spacing w:line="240" w:lineRule="auto"/>
        <w:ind w:left="1416" w:right="51"/>
        <w:contextualSpacing/>
        <w:jc w:val="both"/>
        <w:rPr>
          <w:rFonts w:ascii="Work Sans" w:hAnsi="Work Sans" w:cs="Arial"/>
          <w:i/>
          <w:iCs/>
        </w:rPr>
      </w:pPr>
      <w:r w:rsidRPr="007968CA">
        <w:rPr>
          <w:rFonts w:ascii="Work Sans" w:hAnsi="Work Sans" w:cs="Arial"/>
          <w:i/>
          <w:iCs/>
        </w:rPr>
        <w:t>Mercado competitivo. Es el conjunto de generadores y comercializadores en cuanto compran y venden energía eléctrica entre ellos. Forman parte de él, igualmente, los usuarios no regulados y quienes les proveen de energía eléctrica. </w:t>
      </w:r>
    </w:p>
    <w:p w14:paraId="70758076" w14:textId="77777777" w:rsidR="007968CA" w:rsidRPr="007968CA" w:rsidRDefault="007968CA" w:rsidP="007968CA">
      <w:pPr>
        <w:spacing w:line="240" w:lineRule="auto"/>
        <w:ind w:left="1416" w:right="51"/>
        <w:contextualSpacing/>
        <w:jc w:val="both"/>
        <w:rPr>
          <w:rFonts w:ascii="Work Sans" w:hAnsi="Work Sans" w:cs="Arial"/>
          <w:i/>
          <w:iCs/>
        </w:rPr>
      </w:pPr>
      <w:r w:rsidRPr="007968CA">
        <w:rPr>
          <w:rFonts w:ascii="Work Sans" w:hAnsi="Work Sans" w:cs="Arial"/>
          <w:i/>
          <w:iCs/>
        </w:rPr>
        <w:t>  </w:t>
      </w:r>
    </w:p>
    <w:p w14:paraId="66CE1943" w14:textId="10D44AA1" w:rsidR="007968CA" w:rsidRPr="007968CA" w:rsidRDefault="007968CA" w:rsidP="007968CA">
      <w:pPr>
        <w:spacing w:line="240" w:lineRule="auto"/>
        <w:ind w:left="1416" w:right="51"/>
        <w:contextualSpacing/>
        <w:jc w:val="both"/>
        <w:rPr>
          <w:rFonts w:ascii="Work Sans" w:hAnsi="Work Sans" w:cs="Arial"/>
          <w:i/>
          <w:iCs/>
        </w:rPr>
      </w:pPr>
      <w:r w:rsidRPr="007968CA">
        <w:rPr>
          <w:rFonts w:ascii="Work Sans" w:hAnsi="Work Sans" w:cs="Arial"/>
          <w:i/>
          <w:iCs/>
        </w:rPr>
        <w:t xml:space="preserve">Usuario no Regulado. Para todos los efectos regulatorios, </w:t>
      </w:r>
      <w:r w:rsidRPr="007968CA">
        <w:rPr>
          <w:rFonts w:ascii="Work Sans" w:hAnsi="Work Sans" w:cs="Arial"/>
          <w:b/>
          <w:bCs/>
          <w:i/>
          <w:iCs/>
          <w:u w:val="single"/>
        </w:rPr>
        <w:t xml:space="preserve">es una persona natural o jurídica con una demanda máxima superior a un valor en MW o a un consumo mensual mínimo de energía en </w:t>
      </w:r>
      <w:proofErr w:type="spellStart"/>
      <w:r w:rsidRPr="007968CA">
        <w:rPr>
          <w:rFonts w:ascii="Work Sans" w:hAnsi="Work Sans" w:cs="Arial"/>
          <w:b/>
          <w:bCs/>
          <w:i/>
          <w:iCs/>
          <w:u w:val="single"/>
        </w:rPr>
        <w:t>MWh</w:t>
      </w:r>
      <w:proofErr w:type="spellEnd"/>
      <w:r w:rsidRPr="007968CA">
        <w:rPr>
          <w:rFonts w:ascii="Work Sans" w:hAnsi="Work Sans" w:cs="Arial"/>
          <w:b/>
          <w:bCs/>
          <w:i/>
          <w:iCs/>
          <w:u w:val="single"/>
        </w:rPr>
        <w:t>, definidos por la Comisión,</w:t>
      </w:r>
      <w:r w:rsidRPr="007968CA">
        <w:rPr>
          <w:rFonts w:ascii="Work Sans" w:hAnsi="Work Sans" w:cs="Arial"/>
          <w:i/>
          <w:iCs/>
        </w:rPr>
        <w:t xml:space="preserve"> por instalación legalizada, a partir de la cual no utiliza redes públicas de transporte de energía eléctrica y la utiliza en un mismo predio o en predios contiguos. Sus compras de electricidad se realizan a precios acordados libremente entre el comprador y el vendedor.”</w:t>
      </w:r>
    </w:p>
    <w:p w14:paraId="691DD3EC" w14:textId="77777777" w:rsidR="007968CA" w:rsidRPr="00030297" w:rsidRDefault="007968CA" w:rsidP="007968CA">
      <w:pPr>
        <w:spacing w:line="240" w:lineRule="auto"/>
        <w:ind w:left="708" w:right="51" w:firstLine="708"/>
        <w:contextualSpacing/>
        <w:jc w:val="both"/>
        <w:rPr>
          <w:rFonts w:ascii="Work Sans" w:hAnsi="Work Sans" w:cs="Arial"/>
          <w:sz w:val="24"/>
          <w:szCs w:val="24"/>
        </w:rPr>
      </w:pPr>
      <w:r w:rsidRPr="00030297">
        <w:rPr>
          <w:rFonts w:ascii="Work Sans" w:hAnsi="Work Sans" w:cs="Arial"/>
          <w:sz w:val="24"/>
          <w:szCs w:val="24"/>
        </w:rPr>
        <w:t>(Subrayado y negrita fuera del texto original).</w:t>
      </w:r>
    </w:p>
    <w:p w14:paraId="2524CC2E" w14:textId="3857FD5F" w:rsidR="007968CA" w:rsidRDefault="007968CA" w:rsidP="007968CA">
      <w:pPr>
        <w:spacing w:line="240" w:lineRule="auto"/>
        <w:ind w:right="51"/>
        <w:contextualSpacing/>
        <w:jc w:val="both"/>
        <w:rPr>
          <w:rFonts w:ascii="Work Sans" w:hAnsi="Work Sans" w:cs="Arial"/>
          <w:sz w:val="24"/>
          <w:szCs w:val="24"/>
        </w:rPr>
      </w:pPr>
      <w:r>
        <w:rPr>
          <w:rFonts w:ascii="Work Sans" w:hAnsi="Work Sans" w:cs="Arial"/>
          <w:sz w:val="24"/>
          <w:szCs w:val="24"/>
        </w:rPr>
        <w:tab/>
      </w:r>
    </w:p>
    <w:p w14:paraId="46457702" w14:textId="77777777" w:rsidR="009D448B" w:rsidRDefault="00EC12A2" w:rsidP="00EC12A2">
      <w:pPr>
        <w:spacing w:line="240" w:lineRule="auto"/>
        <w:ind w:left="708" w:right="51"/>
        <w:contextualSpacing/>
        <w:jc w:val="both"/>
        <w:rPr>
          <w:rFonts w:ascii="Work Sans" w:hAnsi="Work Sans" w:cs="Arial"/>
          <w:sz w:val="24"/>
          <w:szCs w:val="24"/>
        </w:rPr>
      </w:pPr>
      <w:r w:rsidRPr="00EC12A2">
        <w:rPr>
          <w:rFonts w:ascii="Work Sans" w:hAnsi="Work Sans" w:cs="Arial"/>
          <w:sz w:val="24"/>
          <w:szCs w:val="24"/>
        </w:rPr>
        <w:t xml:space="preserve">Así las cosas, la CREG indicó que los distritos de riego no están obligados a cumplir con los límites de potencia o consumo de energía establecidos en la Resolución CREG 131 de 1998 para acceder a los beneficios previstos en el artículo 227 de la Ley 1955 de 2019. </w:t>
      </w:r>
    </w:p>
    <w:p w14:paraId="0EEF7736" w14:textId="77777777" w:rsidR="009D448B" w:rsidRDefault="009D448B" w:rsidP="00EC12A2">
      <w:pPr>
        <w:spacing w:line="240" w:lineRule="auto"/>
        <w:ind w:left="708" w:right="51"/>
        <w:contextualSpacing/>
        <w:jc w:val="both"/>
        <w:rPr>
          <w:rFonts w:ascii="Work Sans" w:hAnsi="Work Sans" w:cs="Arial"/>
          <w:sz w:val="24"/>
          <w:szCs w:val="24"/>
        </w:rPr>
      </w:pPr>
    </w:p>
    <w:p w14:paraId="21603250" w14:textId="43E7AC57" w:rsidR="00EC12A2" w:rsidRDefault="00EC12A2" w:rsidP="00EC12A2">
      <w:pPr>
        <w:spacing w:line="240" w:lineRule="auto"/>
        <w:ind w:left="708" w:right="51"/>
        <w:contextualSpacing/>
        <w:jc w:val="both"/>
        <w:rPr>
          <w:rFonts w:ascii="Work Sans" w:hAnsi="Work Sans" w:cs="Arial"/>
          <w:sz w:val="24"/>
          <w:szCs w:val="24"/>
        </w:rPr>
      </w:pPr>
      <w:r w:rsidRPr="00EC12A2">
        <w:rPr>
          <w:rFonts w:ascii="Work Sans" w:hAnsi="Work Sans" w:cs="Arial"/>
          <w:sz w:val="24"/>
          <w:szCs w:val="24"/>
        </w:rPr>
        <w:t xml:space="preserve">No obstante, </w:t>
      </w:r>
      <w:r w:rsidR="009D448B" w:rsidRPr="009D448B">
        <w:rPr>
          <w:rFonts w:ascii="Work Sans" w:hAnsi="Work Sans" w:cs="Arial"/>
          <w:sz w:val="24"/>
          <w:szCs w:val="24"/>
        </w:rPr>
        <w:t>el acceso al subsidio sí implica que, para efectos de la comercialización de energía eléctrica, el usuario sea clasificado como usuario no regulado por parte del agente comercializador, de conformidad con lo dispuesto en el parágrafo segundo del artículo 227 de la Ley 1955 de 2019 y con lo señalado por la CREG en el Concepto 13753 de 2025</w:t>
      </w:r>
      <w:r w:rsidRPr="00EC12A2">
        <w:rPr>
          <w:rFonts w:ascii="Work Sans" w:hAnsi="Work Sans" w:cs="Arial"/>
          <w:sz w:val="24"/>
          <w:szCs w:val="24"/>
        </w:rPr>
        <w:t>.</w:t>
      </w:r>
    </w:p>
    <w:p w14:paraId="24819BB7" w14:textId="77777777" w:rsidR="009D448B" w:rsidRDefault="009D448B" w:rsidP="00EC12A2">
      <w:pPr>
        <w:spacing w:line="240" w:lineRule="auto"/>
        <w:ind w:left="708" w:right="51"/>
        <w:contextualSpacing/>
        <w:jc w:val="both"/>
        <w:rPr>
          <w:rFonts w:ascii="Work Sans" w:hAnsi="Work Sans" w:cs="Arial"/>
          <w:sz w:val="24"/>
          <w:szCs w:val="24"/>
        </w:rPr>
      </w:pPr>
    </w:p>
    <w:p w14:paraId="641446D8" w14:textId="1D59809F" w:rsidR="009D448B" w:rsidRPr="00EC12A2" w:rsidRDefault="009D448B" w:rsidP="00EC12A2">
      <w:pPr>
        <w:spacing w:line="240" w:lineRule="auto"/>
        <w:ind w:left="708" w:right="51"/>
        <w:contextualSpacing/>
        <w:jc w:val="both"/>
        <w:rPr>
          <w:rFonts w:ascii="Work Sans" w:hAnsi="Work Sans" w:cs="Arial"/>
          <w:sz w:val="24"/>
          <w:szCs w:val="24"/>
        </w:rPr>
      </w:pPr>
      <w:r w:rsidRPr="009D448B">
        <w:rPr>
          <w:rFonts w:ascii="Work Sans" w:hAnsi="Work Sans" w:cs="Arial"/>
          <w:sz w:val="24"/>
          <w:szCs w:val="24"/>
        </w:rPr>
        <w:t xml:space="preserve">En este sentido, la clasificación como usuario no regulado para los distritos de riego opera por mandato legal y no se encuentra supeditada </w:t>
      </w:r>
      <w:r w:rsidRPr="009D448B">
        <w:rPr>
          <w:rFonts w:ascii="Work Sans" w:hAnsi="Work Sans" w:cs="Arial"/>
          <w:sz w:val="24"/>
          <w:szCs w:val="24"/>
        </w:rPr>
        <w:lastRenderedPageBreak/>
        <w:t>al cumplimiento de los requisitos ordinarios de demanda o consumo previstos en la Resolución CREG 131 de 1998. Sin embargo, para la aplicación del subsidio y la gestión de la compra de energía, el distrito de riego deberá celebrar un contrato de suministro con un agente comercializador, quien será responsable de efectuar dicha clasificación, aplicar el beneficio correspondiente e incluir al usuario en los reportes requeridos para el reconocimiento de los recursos por parte de la Nación.</w:t>
      </w:r>
    </w:p>
    <w:p w14:paraId="0276F43E" w14:textId="77777777" w:rsidR="00EC12A2" w:rsidRPr="00EC12A2" w:rsidRDefault="00EC12A2" w:rsidP="00EC12A2">
      <w:pPr>
        <w:spacing w:line="240" w:lineRule="auto"/>
        <w:ind w:left="708" w:right="51"/>
        <w:contextualSpacing/>
        <w:jc w:val="both"/>
        <w:rPr>
          <w:rFonts w:ascii="Work Sans" w:hAnsi="Work Sans" w:cs="Arial"/>
          <w:sz w:val="24"/>
          <w:szCs w:val="24"/>
        </w:rPr>
      </w:pPr>
    </w:p>
    <w:p w14:paraId="4122401B" w14:textId="77777777" w:rsidR="00EC12A2" w:rsidRDefault="00EC12A2" w:rsidP="00EC12A2">
      <w:pPr>
        <w:spacing w:line="240" w:lineRule="auto"/>
        <w:ind w:left="708" w:right="51"/>
        <w:contextualSpacing/>
        <w:jc w:val="both"/>
        <w:rPr>
          <w:rFonts w:ascii="Work Sans" w:hAnsi="Work Sans" w:cs="Arial"/>
          <w:sz w:val="24"/>
          <w:szCs w:val="24"/>
        </w:rPr>
      </w:pPr>
      <w:r w:rsidRPr="00EC12A2">
        <w:rPr>
          <w:rFonts w:ascii="Work Sans" w:hAnsi="Work Sans" w:cs="Arial"/>
          <w:sz w:val="24"/>
          <w:szCs w:val="24"/>
        </w:rPr>
        <w:t>Por lo tanto, para acceder al subsidio establecido en el artículo 227 de la Ley 1955 de 2019 no basta únicamente con que el usuario se considere beneficiario de la disposición legal, sino que resulta necesario que el comercializador efectúe la correspondiente clasificación y gestione su aplicación conforme al procedimiento y a las condiciones regulatorias vigentes.</w:t>
      </w:r>
    </w:p>
    <w:p w14:paraId="225C8BF1" w14:textId="5298C9B3" w:rsidR="00EC12A2" w:rsidRDefault="00EC12A2" w:rsidP="00EC12A2">
      <w:pPr>
        <w:spacing w:line="240" w:lineRule="auto"/>
        <w:ind w:left="708" w:right="51"/>
        <w:contextualSpacing/>
        <w:jc w:val="both"/>
        <w:rPr>
          <w:rFonts w:ascii="Work Sans" w:hAnsi="Work Sans" w:cs="Arial"/>
          <w:sz w:val="24"/>
          <w:szCs w:val="24"/>
        </w:rPr>
      </w:pPr>
    </w:p>
    <w:p w14:paraId="76F8CBE3" w14:textId="4ADD15DF" w:rsidR="00EC12A2" w:rsidRDefault="00EC12A2" w:rsidP="00EC12A2">
      <w:pPr>
        <w:spacing w:line="240" w:lineRule="auto"/>
        <w:ind w:left="708" w:right="51"/>
        <w:contextualSpacing/>
        <w:jc w:val="both"/>
        <w:rPr>
          <w:rFonts w:ascii="Work Sans" w:hAnsi="Work Sans" w:cs="Arial"/>
          <w:i/>
          <w:iCs/>
          <w:szCs w:val="20"/>
        </w:rPr>
      </w:pPr>
      <w:r w:rsidRPr="00DE19F5">
        <w:rPr>
          <w:rFonts w:ascii="Work Sans" w:hAnsi="Work Sans" w:cs="Arial"/>
          <w:b/>
          <w:bCs/>
          <w:szCs w:val="20"/>
        </w:rPr>
        <w:t>2.</w:t>
      </w:r>
      <w:r w:rsidR="00DE19F5">
        <w:rPr>
          <w:rFonts w:ascii="Work Sans" w:hAnsi="Work Sans" w:cs="Arial"/>
          <w:i/>
          <w:iCs/>
          <w:szCs w:val="20"/>
        </w:rPr>
        <w:t xml:space="preserve"> </w:t>
      </w:r>
      <w:r>
        <w:rPr>
          <w:rFonts w:ascii="Work Sans" w:hAnsi="Work Sans" w:cs="Arial"/>
          <w:i/>
          <w:iCs/>
          <w:szCs w:val="20"/>
        </w:rPr>
        <w:t>“</w:t>
      </w:r>
      <w:r w:rsidR="00DE19F5" w:rsidRPr="00DE19F5">
        <w:rPr>
          <w:rFonts w:ascii="Work Sans" w:hAnsi="Work Sans" w:cs="Arial"/>
          <w:i/>
          <w:iCs/>
          <w:szCs w:val="20"/>
        </w:rPr>
        <w:t>Aclárese si la condición de “usuario no regulado” prevista en el Parágrafo Segundo del artículo 227 de la Ley 1955 de 2019 opera únicamente para efectos de comercialización de la energía y del reporte de facturación, manteniendo el usuario, para los demás efectos, la naturaleza de usuario perteneciente a la clase especial.</w:t>
      </w:r>
      <w:r w:rsidR="00DE19F5">
        <w:rPr>
          <w:rFonts w:ascii="Work Sans" w:hAnsi="Work Sans" w:cs="Arial"/>
          <w:i/>
          <w:iCs/>
          <w:szCs w:val="20"/>
        </w:rPr>
        <w:t>”</w:t>
      </w:r>
    </w:p>
    <w:p w14:paraId="41B2BCA0" w14:textId="77777777" w:rsidR="00EC12A2" w:rsidRDefault="00EC12A2" w:rsidP="00EC12A2">
      <w:pPr>
        <w:spacing w:line="240" w:lineRule="auto"/>
        <w:ind w:left="708" w:right="51"/>
        <w:contextualSpacing/>
        <w:jc w:val="both"/>
        <w:rPr>
          <w:rFonts w:ascii="Work Sans" w:hAnsi="Work Sans" w:cs="Arial"/>
          <w:i/>
          <w:iCs/>
          <w:szCs w:val="20"/>
        </w:rPr>
      </w:pPr>
    </w:p>
    <w:p w14:paraId="5D2FB244" w14:textId="77777777" w:rsidR="00507D56" w:rsidRPr="00507D56" w:rsidRDefault="00EC12A2" w:rsidP="00507D56">
      <w:pPr>
        <w:spacing w:line="240" w:lineRule="auto"/>
        <w:ind w:left="708" w:right="51"/>
        <w:contextualSpacing/>
        <w:jc w:val="both"/>
        <w:rPr>
          <w:rFonts w:ascii="Work Sans" w:hAnsi="Work Sans" w:cs="Arial"/>
          <w:sz w:val="24"/>
        </w:rPr>
      </w:pPr>
      <w:r w:rsidRPr="008420CB">
        <w:rPr>
          <w:rFonts w:ascii="Work Sans" w:hAnsi="Work Sans" w:cs="Arial"/>
          <w:b/>
          <w:bCs/>
          <w:sz w:val="24"/>
          <w:u w:val="single"/>
        </w:rPr>
        <w:t>Respuesta:</w:t>
      </w:r>
      <w:r w:rsidRPr="00AD51B2">
        <w:rPr>
          <w:rFonts w:ascii="Work Sans" w:hAnsi="Work Sans" w:cs="Arial"/>
          <w:sz w:val="24"/>
        </w:rPr>
        <w:t xml:space="preserve"> </w:t>
      </w:r>
      <w:r w:rsidR="00507D56" w:rsidRPr="00507D56">
        <w:rPr>
          <w:rFonts w:ascii="Work Sans" w:hAnsi="Work Sans" w:cs="Arial"/>
          <w:sz w:val="24"/>
        </w:rPr>
        <w:t>De conformidad con lo dispuesto en el parágrafo segundo del artículo 227 de la Ley 1955 de 2019, para efectos de la clasificación de los usuarios del servicio de energía eléctrica, la utilización del servicio para el riego dirigido a la producción agropecuaria se clasifica dentro de la clase especial, la cual no está sujeta al pago de la contribución de solidaridad. Adicionalmente, la misma disposición establece que, con el objeto de comercializar la energía eléctrica, los usuarios de los distritos de riego se clasificarán como usuarios no regulados.</w:t>
      </w:r>
    </w:p>
    <w:p w14:paraId="14D62F51" w14:textId="77777777" w:rsidR="00507D56" w:rsidRPr="00507D56" w:rsidRDefault="00507D56" w:rsidP="00B5681E">
      <w:pPr>
        <w:spacing w:line="240" w:lineRule="auto"/>
        <w:ind w:right="51"/>
        <w:contextualSpacing/>
        <w:jc w:val="both"/>
        <w:rPr>
          <w:rFonts w:ascii="Work Sans" w:hAnsi="Work Sans" w:cs="Arial"/>
          <w:sz w:val="24"/>
        </w:rPr>
      </w:pPr>
    </w:p>
    <w:p w14:paraId="73761827" w14:textId="0D46E650" w:rsidR="00DA63CF" w:rsidRDefault="00507D56" w:rsidP="00507D56">
      <w:pPr>
        <w:spacing w:line="240" w:lineRule="auto"/>
        <w:ind w:left="708" w:right="51"/>
        <w:contextualSpacing/>
        <w:jc w:val="both"/>
        <w:rPr>
          <w:rFonts w:ascii="Work Sans" w:hAnsi="Work Sans" w:cs="Arial"/>
          <w:sz w:val="24"/>
        </w:rPr>
      </w:pPr>
      <w:r w:rsidRPr="00507D56">
        <w:rPr>
          <w:rFonts w:ascii="Work Sans" w:hAnsi="Work Sans" w:cs="Arial"/>
          <w:sz w:val="24"/>
        </w:rPr>
        <w:t xml:space="preserve">Por lo anterior, este Ministerio considera que la condición de usuario no regulado prevista en el citado parágrafo opera para los fines expresamente señalados por el legislador, esto es, para la comercialización de la energía eléctrica, sin que ello implique la pérdida de la condición de usuario de clase especial </w:t>
      </w:r>
      <w:r w:rsidR="00DA63CF" w:rsidRPr="00DA63CF">
        <w:rPr>
          <w:rFonts w:ascii="Work Sans" w:hAnsi="Work Sans" w:cs="Arial"/>
          <w:sz w:val="24"/>
        </w:rPr>
        <w:t>reconocida por el artículo 227 de la Ley 1955 de 2019 a los usuarios de distritos de riego</w:t>
      </w:r>
      <w:r w:rsidRPr="00507D56">
        <w:rPr>
          <w:rFonts w:ascii="Work Sans" w:hAnsi="Work Sans" w:cs="Arial"/>
          <w:sz w:val="24"/>
        </w:rPr>
        <w:t xml:space="preserve">. </w:t>
      </w:r>
    </w:p>
    <w:p w14:paraId="0D660371" w14:textId="77777777" w:rsidR="00DA63CF" w:rsidRDefault="00DA63CF" w:rsidP="00507D56">
      <w:pPr>
        <w:spacing w:line="240" w:lineRule="auto"/>
        <w:ind w:left="708" w:right="51"/>
        <w:contextualSpacing/>
        <w:jc w:val="both"/>
        <w:rPr>
          <w:rFonts w:ascii="Work Sans" w:hAnsi="Work Sans" w:cs="Arial"/>
          <w:sz w:val="24"/>
        </w:rPr>
      </w:pPr>
    </w:p>
    <w:p w14:paraId="00FB1507" w14:textId="2F87CC1D" w:rsidR="00EC12A2" w:rsidRDefault="00507D56" w:rsidP="00507D56">
      <w:pPr>
        <w:spacing w:line="240" w:lineRule="auto"/>
        <w:ind w:left="708" w:right="51"/>
        <w:contextualSpacing/>
        <w:jc w:val="both"/>
        <w:rPr>
          <w:rFonts w:ascii="Work Sans" w:hAnsi="Work Sans" w:cs="Arial"/>
          <w:sz w:val="24"/>
        </w:rPr>
      </w:pPr>
      <w:r w:rsidRPr="00507D56">
        <w:rPr>
          <w:rFonts w:ascii="Work Sans" w:hAnsi="Work Sans" w:cs="Arial"/>
          <w:sz w:val="24"/>
        </w:rPr>
        <w:lastRenderedPageBreak/>
        <w:t xml:space="preserve">No obstante, cualquier interpretación regulatoria adicional sobre el alcance de la categoría de usuario no regulado corresponde a </w:t>
      </w:r>
      <w:r w:rsidR="00B53989">
        <w:rPr>
          <w:rFonts w:ascii="Work Sans" w:hAnsi="Work Sans" w:cs="Arial"/>
          <w:sz w:val="24"/>
        </w:rPr>
        <w:t xml:space="preserve">la </w:t>
      </w:r>
      <w:r w:rsidRPr="00507D56">
        <w:rPr>
          <w:rFonts w:ascii="Work Sans" w:hAnsi="Work Sans" w:cs="Arial"/>
          <w:sz w:val="24"/>
        </w:rPr>
        <w:t xml:space="preserve">CREG </w:t>
      </w:r>
      <w:r w:rsidR="00B53989">
        <w:rPr>
          <w:rFonts w:ascii="Work Sans" w:hAnsi="Work Sans" w:cs="Arial"/>
          <w:sz w:val="24"/>
        </w:rPr>
        <w:t xml:space="preserve">pronunciarse </w:t>
      </w:r>
      <w:r w:rsidRPr="00507D56">
        <w:rPr>
          <w:rFonts w:ascii="Work Sans" w:hAnsi="Work Sans" w:cs="Arial"/>
          <w:sz w:val="24"/>
        </w:rPr>
        <w:t>en el marco de sus competencias</w:t>
      </w:r>
      <w:r w:rsidR="00DA63CF">
        <w:rPr>
          <w:rFonts w:ascii="Work Sans" w:hAnsi="Work Sans" w:cs="Arial"/>
          <w:sz w:val="24"/>
        </w:rPr>
        <w:t xml:space="preserve"> asignadas por la ley</w:t>
      </w:r>
      <w:r w:rsidRPr="00507D56">
        <w:rPr>
          <w:rFonts w:ascii="Work Sans" w:hAnsi="Work Sans" w:cs="Arial"/>
          <w:sz w:val="24"/>
        </w:rPr>
        <w:t>.</w:t>
      </w:r>
    </w:p>
    <w:p w14:paraId="5E80C247" w14:textId="77777777" w:rsidR="00DE19F5" w:rsidRDefault="00DE19F5" w:rsidP="00EC12A2">
      <w:pPr>
        <w:spacing w:line="240" w:lineRule="auto"/>
        <w:ind w:left="708" w:right="51"/>
        <w:contextualSpacing/>
        <w:jc w:val="both"/>
        <w:rPr>
          <w:rFonts w:ascii="Work Sans" w:hAnsi="Work Sans" w:cs="Arial"/>
          <w:sz w:val="24"/>
        </w:rPr>
      </w:pPr>
    </w:p>
    <w:p w14:paraId="1EE2EA25" w14:textId="4A86EE9D" w:rsidR="00DE19F5" w:rsidRDefault="00DE19F5" w:rsidP="00DE19F5">
      <w:pPr>
        <w:spacing w:line="240" w:lineRule="auto"/>
        <w:ind w:left="708" w:right="51"/>
        <w:contextualSpacing/>
        <w:jc w:val="both"/>
        <w:rPr>
          <w:rFonts w:ascii="Work Sans" w:hAnsi="Work Sans" w:cs="Arial"/>
          <w:i/>
          <w:iCs/>
          <w:szCs w:val="20"/>
        </w:rPr>
      </w:pPr>
      <w:r>
        <w:rPr>
          <w:rFonts w:ascii="Work Sans" w:hAnsi="Work Sans" w:cs="Arial"/>
          <w:b/>
          <w:bCs/>
          <w:szCs w:val="20"/>
        </w:rPr>
        <w:t>3</w:t>
      </w:r>
      <w:r w:rsidRPr="00DE19F5">
        <w:rPr>
          <w:rFonts w:ascii="Work Sans" w:hAnsi="Work Sans" w:cs="Arial"/>
          <w:b/>
          <w:bCs/>
          <w:szCs w:val="20"/>
        </w:rPr>
        <w:t>.</w:t>
      </w:r>
      <w:r>
        <w:rPr>
          <w:rFonts w:ascii="Work Sans" w:hAnsi="Work Sans" w:cs="Arial"/>
          <w:i/>
          <w:iCs/>
          <w:szCs w:val="20"/>
        </w:rPr>
        <w:t xml:space="preserve"> “</w:t>
      </w:r>
      <w:r w:rsidR="00AD5C30" w:rsidRPr="00554CA3">
        <w:rPr>
          <w:rFonts w:ascii="Work Sans" w:hAnsi="Work Sans" w:cs="Arial"/>
          <w:i/>
          <w:iCs/>
          <w:szCs w:val="20"/>
        </w:rPr>
        <w:t>Precísese</w:t>
      </w:r>
      <w:r w:rsidR="00554CA3" w:rsidRPr="00554CA3">
        <w:rPr>
          <w:rFonts w:ascii="Work Sans" w:hAnsi="Work Sans" w:cs="Arial"/>
          <w:i/>
          <w:iCs/>
          <w:szCs w:val="20"/>
        </w:rPr>
        <w:t xml:space="preserve"> cómo debe reportarse este cliente ante el Ministerio de Minas y Energía (y ante el Fondo de Solidaridad para Subsidios y Redistribución de Ingresos – FSSRI) y ante la Superintendencia de Servicios Público Domiciliarios – SSPD: es decir, si para efectos de tales reportes el cliente debe figurar como usuario no regulado, aun cuando no haya migrado por superación de los umbrales de la Resolución CREG 131 de 1998.</w:t>
      </w:r>
      <w:r>
        <w:rPr>
          <w:rFonts w:ascii="Work Sans" w:hAnsi="Work Sans" w:cs="Arial"/>
          <w:i/>
          <w:iCs/>
          <w:szCs w:val="20"/>
        </w:rPr>
        <w:t>”</w:t>
      </w:r>
    </w:p>
    <w:p w14:paraId="023D4D49" w14:textId="77777777" w:rsidR="00DE19F5" w:rsidRDefault="00DE19F5" w:rsidP="00DE19F5">
      <w:pPr>
        <w:spacing w:line="240" w:lineRule="auto"/>
        <w:ind w:left="708" w:right="51"/>
        <w:contextualSpacing/>
        <w:jc w:val="both"/>
        <w:rPr>
          <w:rFonts w:ascii="Work Sans" w:hAnsi="Work Sans" w:cs="Arial"/>
          <w:i/>
          <w:iCs/>
          <w:szCs w:val="20"/>
        </w:rPr>
      </w:pPr>
    </w:p>
    <w:p w14:paraId="3E447AF9" w14:textId="54AB462D" w:rsidR="00AD5C30" w:rsidRPr="00AD5C30" w:rsidRDefault="00DE19F5" w:rsidP="00AD5C30">
      <w:pPr>
        <w:spacing w:line="240" w:lineRule="auto"/>
        <w:ind w:left="708" w:right="51"/>
        <w:contextualSpacing/>
        <w:jc w:val="both"/>
        <w:rPr>
          <w:rFonts w:ascii="Work Sans" w:hAnsi="Work Sans" w:cs="Arial"/>
          <w:sz w:val="24"/>
        </w:rPr>
      </w:pPr>
      <w:r w:rsidRPr="008420CB">
        <w:rPr>
          <w:rFonts w:ascii="Work Sans" w:hAnsi="Work Sans" w:cs="Arial"/>
          <w:b/>
          <w:bCs/>
          <w:sz w:val="24"/>
          <w:u w:val="single"/>
        </w:rPr>
        <w:t>Respuesta:</w:t>
      </w:r>
      <w:r w:rsidRPr="00AD51B2">
        <w:rPr>
          <w:rFonts w:ascii="Work Sans" w:hAnsi="Work Sans" w:cs="Arial"/>
          <w:sz w:val="24"/>
        </w:rPr>
        <w:t xml:space="preserve"> </w:t>
      </w:r>
      <w:r w:rsidR="00AD5C30" w:rsidRPr="00AD5C30">
        <w:rPr>
          <w:rFonts w:ascii="Work Sans" w:hAnsi="Work Sans" w:cs="Arial"/>
          <w:sz w:val="24"/>
        </w:rPr>
        <w:t xml:space="preserve">Respecto del </w:t>
      </w:r>
      <w:r w:rsidR="00F01A97" w:rsidRPr="00AD5C30">
        <w:rPr>
          <w:rFonts w:ascii="Work Sans" w:hAnsi="Work Sans" w:cs="Arial"/>
          <w:sz w:val="24"/>
        </w:rPr>
        <w:t>reporte</w:t>
      </w:r>
      <w:r w:rsidR="00F01A97">
        <w:rPr>
          <w:rFonts w:ascii="Work Sans" w:hAnsi="Work Sans" w:cs="Arial"/>
          <w:sz w:val="24"/>
        </w:rPr>
        <w:t xml:space="preserve"> de información</w:t>
      </w:r>
      <w:r w:rsidR="00AD5C30" w:rsidRPr="00AD5C30">
        <w:rPr>
          <w:rFonts w:ascii="Work Sans" w:hAnsi="Work Sans" w:cs="Arial"/>
          <w:sz w:val="24"/>
        </w:rPr>
        <w:t xml:space="preserve"> ante este Ministerio, se informa que los usuarios beneficiarios del subsidio establecido en el artículo 227 de la Ley 1955 de 2019 deben ser reportados por el comercializador a través del Formato 2 “</w:t>
      </w:r>
      <w:r w:rsidR="00AD5C30" w:rsidRPr="00F01A97">
        <w:rPr>
          <w:rFonts w:ascii="Work Sans" w:hAnsi="Work Sans" w:cs="Arial"/>
          <w:i/>
          <w:iCs/>
          <w:sz w:val="24"/>
        </w:rPr>
        <w:t>Subsidios otorgados</w:t>
      </w:r>
      <w:r w:rsidR="00AD5C30" w:rsidRPr="00AD5C30">
        <w:rPr>
          <w:rFonts w:ascii="Work Sans" w:hAnsi="Work Sans" w:cs="Arial"/>
          <w:sz w:val="24"/>
        </w:rPr>
        <w:t>”, de conformidad con lo establecido en la “</w:t>
      </w:r>
      <w:r w:rsidR="00AD5C30" w:rsidRPr="00F01A97">
        <w:rPr>
          <w:rFonts w:ascii="Work Sans" w:hAnsi="Work Sans" w:cs="Arial"/>
          <w:i/>
          <w:iCs/>
          <w:sz w:val="24"/>
        </w:rPr>
        <w:t>Guía para el reporte de las conciliaciones trimestrales de subsidios y contribuciones del FSSRI en el SIN – Sector Eléctrico</w:t>
      </w:r>
      <w:r w:rsidR="00AD5C30" w:rsidRPr="00AD5C30">
        <w:rPr>
          <w:rFonts w:ascii="Work Sans" w:hAnsi="Work Sans" w:cs="Arial"/>
          <w:sz w:val="24"/>
        </w:rPr>
        <w:t>” y demás instrucciones que para tal efecto imparta este Ministerio.</w:t>
      </w:r>
    </w:p>
    <w:p w14:paraId="642E7CE5" w14:textId="77777777" w:rsidR="00AD5C30" w:rsidRPr="00AD5C30" w:rsidRDefault="00AD5C30" w:rsidP="00AD5C30">
      <w:pPr>
        <w:spacing w:line="240" w:lineRule="auto"/>
        <w:ind w:left="708" w:right="51"/>
        <w:contextualSpacing/>
        <w:jc w:val="both"/>
        <w:rPr>
          <w:rFonts w:ascii="Work Sans" w:hAnsi="Work Sans" w:cs="Arial"/>
          <w:sz w:val="24"/>
        </w:rPr>
      </w:pPr>
    </w:p>
    <w:p w14:paraId="667A403F" w14:textId="34C5E08D" w:rsidR="00AD5C30" w:rsidRPr="00AD5C30" w:rsidRDefault="00AD5C30" w:rsidP="00AD5C30">
      <w:pPr>
        <w:spacing w:line="240" w:lineRule="auto"/>
        <w:ind w:left="708" w:right="51"/>
        <w:contextualSpacing/>
        <w:jc w:val="both"/>
        <w:rPr>
          <w:rFonts w:ascii="Work Sans" w:hAnsi="Work Sans" w:cs="Arial"/>
          <w:sz w:val="24"/>
        </w:rPr>
      </w:pPr>
      <w:r w:rsidRPr="00AD5C30">
        <w:rPr>
          <w:rFonts w:ascii="Work Sans" w:hAnsi="Work Sans" w:cs="Arial"/>
          <w:sz w:val="24"/>
        </w:rPr>
        <w:t>Ahora bien, en relación con la forma en que dichos usuarios deben ser reportados ante la Superintendencia de Servicios Públicos Domiciliarios (SSPD), este Ministerio no es competente para pronunciarse sobre los criterios de reporte definidos por dicha entidad ni sobre la información que debe ser registrada en el Sistema Único de Información (SUI)</w:t>
      </w:r>
      <w:r w:rsidR="00EA797D">
        <w:rPr>
          <w:rFonts w:ascii="Work Sans" w:hAnsi="Work Sans" w:cs="Arial"/>
          <w:sz w:val="24"/>
        </w:rPr>
        <w:t xml:space="preserve"> administrado por la SSPD</w:t>
      </w:r>
      <w:r w:rsidRPr="00AD5C30">
        <w:rPr>
          <w:rFonts w:ascii="Work Sans" w:hAnsi="Work Sans" w:cs="Arial"/>
          <w:sz w:val="24"/>
        </w:rPr>
        <w:t>.</w:t>
      </w:r>
    </w:p>
    <w:p w14:paraId="7AFF8FAB" w14:textId="77777777" w:rsidR="00AD5C30" w:rsidRPr="00AD5C30" w:rsidRDefault="00AD5C30" w:rsidP="00AD5C30">
      <w:pPr>
        <w:spacing w:line="240" w:lineRule="auto"/>
        <w:ind w:left="708" w:right="51"/>
        <w:contextualSpacing/>
        <w:jc w:val="both"/>
        <w:rPr>
          <w:rFonts w:ascii="Work Sans" w:hAnsi="Work Sans" w:cs="Arial"/>
          <w:sz w:val="24"/>
        </w:rPr>
      </w:pPr>
    </w:p>
    <w:p w14:paraId="04CA93B5" w14:textId="2876A405" w:rsidR="00DE19F5" w:rsidRDefault="00AD5C30" w:rsidP="3DE7CA23">
      <w:pPr>
        <w:spacing w:line="240" w:lineRule="auto"/>
        <w:ind w:left="708" w:right="51"/>
        <w:contextualSpacing/>
        <w:jc w:val="both"/>
        <w:rPr>
          <w:rFonts w:ascii="Work Sans" w:hAnsi="Work Sans" w:cs="Arial"/>
          <w:sz w:val="24"/>
          <w:szCs w:val="24"/>
        </w:rPr>
      </w:pPr>
      <w:r w:rsidRPr="00790F52">
        <w:rPr>
          <w:rFonts w:ascii="Work Sans" w:hAnsi="Work Sans" w:cs="Arial"/>
          <w:sz w:val="24"/>
          <w:szCs w:val="24"/>
        </w:rPr>
        <w:t>Por tal razón, de conformidad con lo dispuesto en el artículo 21 de la Ley 1755 de 2015, se d</w:t>
      </w:r>
      <w:r w:rsidR="00CE20C5">
        <w:rPr>
          <w:rFonts w:ascii="Work Sans" w:hAnsi="Work Sans" w:cs="Arial"/>
          <w:sz w:val="24"/>
          <w:szCs w:val="24"/>
        </w:rPr>
        <w:t>io</w:t>
      </w:r>
      <w:r w:rsidRPr="00790F52">
        <w:rPr>
          <w:rFonts w:ascii="Work Sans" w:hAnsi="Work Sans" w:cs="Arial"/>
          <w:sz w:val="24"/>
          <w:szCs w:val="24"/>
        </w:rPr>
        <w:t xml:space="preserve"> traslado de este interrogante a la S</w:t>
      </w:r>
      <w:r w:rsidR="2A6447E3" w:rsidRPr="00790F52">
        <w:rPr>
          <w:rFonts w:ascii="Work Sans" w:hAnsi="Work Sans" w:cs="Arial"/>
          <w:sz w:val="24"/>
          <w:szCs w:val="24"/>
        </w:rPr>
        <w:t>SPD</w:t>
      </w:r>
      <w:r w:rsidRPr="00790F52">
        <w:rPr>
          <w:rFonts w:ascii="Work Sans" w:hAnsi="Work Sans" w:cs="Arial"/>
          <w:sz w:val="24"/>
          <w:szCs w:val="24"/>
        </w:rPr>
        <w:t xml:space="preserve"> </w:t>
      </w:r>
      <w:r w:rsidR="00CE20C5">
        <w:rPr>
          <w:rFonts w:ascii="Work Sans" w:hAnsi="Work Sans" w:cs="Arial"/>
          <w:sz w:val="24"/>
          <w:szCs w:val="24"/>
        </w:rPr>
        <w:t xml:space="preserve">mediante radicado 2-2026-026815 del 16 de junio de 2026 </w:t>
      </w:r>
      <w:r w:rsidRPr="00790F52">
        <w:rPr>
          <w:rFonts w:ascii="Work Sans" w:hAnsi="Work Sans" w:cs="Arial"/>
          <w:sz w:val="24"/>
          <w:szCs w:val="24"/>
        </w:rPr>
        <w:t>para que, en el marco de sus competencias, emita el pronunciamiento correspondiente respecto de la forma en que estos usuarios deben ser reportados ante dicha entidad.</w:t>
      </w:r>
    </w:p>
    <w:p w14:paraId="34A00399" w14:textId="182CE39C" w:rsidR="00484A5A" w:rsidRPr="00030297" w:rsidRDefault="00484A5A" w:rsidP="00EC12A2">
      <w:pPr>
        <w:spacing w:line="240" w:lineRule="auto"/>
        <w:ind w:right="51"/>
        <w:contextualSpacing/>
        <w:jc w:val="both"/>
        <w:rPr>
          <w:rFonts w:ascii="Work Sans" w:hAnsi="Work Sans" w:cs="Arial"/>
          <w:sz w:val="24"/>
          <w:szCs w:val="24"/>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030297">
        <w:rPr>
          <w:rFonts w:ascii="Work Sans" w:hAnsi="Work Sans" w:cs="Arial"/>
          <w:sz w:val="24"/>
          <w:szCs w:val="24"/>
        </w:rPr>
        <w:t>Cordialmente</w:t>
      </w:r>
      <w:r w:rsidRPr="00640E5A">
        <w:rPr>
          <w:rFonts w:ascii="Work Sans" w:hAnsi="Work Sans" w:cs="Arial"/>
          <w:sz w:val="24"/>
        </w:rPr>
        <w:t>,</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6"/>
      <w:footerReference w:type="default" r:id="rId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829F" w14:textId="77777777" w:rsidR="00A8655A" w:rsidRDefault="00A8655A">
      <w:pPr>
        <w:spacing w:after="0" w:line="240" w:lineRule="auto"/>
      </w:pPr>
      <w:r>
        <w:separator/>
      </w:r>
    </w:p>
  </w:endnote>
  <w:endnote w:type="continuationSeparator" w:id="0">
    <w:p w14:paraId="3E5CD6C5" w14:textId="77777777" w:rsidR="00A8655A" w:rsidRDefault="00A86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C4672" w14:textId="77777777" w:rsidR="00A8655A" w:rsidRDefault="00A8655A">
      <w:pPr>
        <w:spacing w:after="0" w:line="240" w:lineRule="auto"/>
      </w:pPr>
      <w:r>
        <w:separator/>
      </w:r>
    </w:p>
  </w:footnote>
  <w:footnote w:type="continuationSeparator" w:id="0">
    <w:p w14:paraId="73C5EDAE" w14:textId="77777777" w:rsidR="00A8655A" w:rsidRDefault="00A86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30297"/>
    <w:rsid w:val="000418C8"/>
    <w:rsid w:val="0011063C"/>
    <w:rsid w:val="00113B00"/>
    <w:rsid w:val="001534AE"/>
    <w:rsid w:val="001818F1"/>
    <w:rsid w:val="0023347F"/>
    <w:rsid w:val="002478C2"/>
    <w:rsid w:val="00262ACE"/>
    <w:rsid w:val="002F4F55"/>
    <w:rsid w:val="003121A9"/>
    <w:rsid w:val="00332FE7"/>
    <w:rsid w:val="003B2B73"/>
    <w:rsid w:val="00484A5A"/>
    <w:rsid w:val="00496E70"/>
    <w:rsid w:val="004D2481"/>
    <w:rsid w:val="004E24E0"/>
    <w:rsid w:val="004F5C33"/>
    <w:rsid w:val="00507D56"/>
    <w:rsid w:val="005225C6"/>
    <w:rsid w:val="00554CA3"/>
    <w:rsid w:val="005617AA"/>
    <w:rsid w:val="00563C0E"/>
    <w:rsid w:val="005646C4"/>
    <w:rsid w:val="005C1598"/>
    <w:rsid w:val="00640E5A"/>
    <w:rsid w:val="006C5A5F"/>
    <w:rsid w:val="00702B1B"/>
    <w:rsid w:val="00764858"/>
    <w:rsid w:val="00790F52"/>
    <w:rsid w:val="007968CA"/>
    <w:rsid w:val="007A5A72"/>
    <w:rsid w:val="007F664C"/>
    <w:rsid w:val="00830730"/>
    <w:rsid w:val="008420CB"/>
    <w:rsid w:val="00875216"/>
    <w:rsid w:val="00892C0E"/>
    <w:rsid w:val="008C0CDE"/>
    <w:rsid w:val="008E4ABF"/>
    <w:rsid w:val="009359F1"/>
    <w:rsid w:val="00981241"/>
    <w:rsid w:val="009D448B"/>
    <w:rsid w:val="009E5228"/>
    <w:rsid w:val="00A3590E"/>
    <w:rsid w:val="00A3749D"/>
    <w:rsid w:val="00A62B99"/>
    <w:rsid w:val="00A86526"/>
    <w:rsid w:val="00A8655A"/>
    <w:rsid w:val="00AD43C1"/>
    <w:rsid w:val="00AD51B2"/>
    <w:rsid w:val="00AD5C30"/>
    <w:rsid w:val="00AD60CC"/>
    <w:rsid w:val="00B4250F"/>
    <w:rsid w:val="00B51607"/>
    <w:rsid w:val="00B53989"/>
    <w:rsid w:val="00B5681E"/>
    <w:rsid w:val="00B8481D"/>
    <w:rsid w:val="00B91B8D"/>
    <w:rsid w:val="00BA2C3F"/>
    <w:rsid w:val="00C0455B"/>
    <w:rsid w:val="00C33E78"/>
    <w:rsid w:val="00CE20C5"/>
    <w:rsid w:val="00DA63CF"/>
    <w:rsid w:val="00DC7B37"/>
    <w:rsid w:val="00DE1913"/>
    <w:rsid w:val="00DE19F5"/>
    <w:rsid w:val="00E113E2"/>
    <w:rsid w:val="00E37AC0"/>
    <w:rsid w:val="00E823F2"/>
    <w:rsid w:val="00EA797D"/>
    <w:rsid w:val="00EB33B5"/>
    <w:rsid w:val="00EB3862"/>
    <w:rsid w:val="00EC12A2"/>
    <w:rsid w:val="00F01A97"/>
    <w:rsid w:val="00F80A1F"/>
    <w:rsid w:val="00F94C11"/>
    <w:rsid w:val="00FA439A"/>
    <w:rsid w:val="00FD392C"/>
    <w:rsid w:val="1C74F75E"/>
    <w:rsid w:val="2A6447E3"/>
    <w:rsid w:val="3DE7CA23"/>
    <w:rsid w:val="43C0A43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basedOn w:val="Fuentedeprrafopredeter"/>
    <w:uiPriority w:val="99"/>
    <w:unhideWhenUsed/>
    <w:rsid w:val="00113B00"/>
    <w:rPr>
      <w:color w:val="0563C1" w:themeColor="hyperlink"/>
      <w:u w:val="single"/>
    </w:rPr>
  </w:style>
  <w:style w:type="character" w:styleId="Mencinsinresolver">
    <w:name w:val="Unresolved Mention"/>
    <w:basedOn w:val="Fuentedeprrafopredeter"/>
    <w:uiPriority w:val="99"/>
    <w:semiHidden/>
    <w:unhideWhenUsed/>
    <w:rsid w:val="00113B00"/>
    <w:rPr>
      <w:color w:val="605E5C"/>
      <w:shd w:val="clear" w:color="auto" w:fill="E1DFDD"/>
    </w:rPr>
  </w:style>
  <w:style w:type="paragraph" w:styleId="Prrafodelista">
    <w:name w:val="List Paragraph"/>
    <w:basedOn w:val="Normal"/>
    <w:uiPriority w:val="34"/>
    <w:qFormat/>
    <w:rsid w:val="00DE19F5"/>
    <w:pPr>
      <w:ind w:left="720"/>
      <w:contextualSpacing/>
    </w:pPr>
  </w:style>
  <w:style w:type="paragraph" w:styleId="Revisin">
    <w:name w:val="Revision"/>
    <w:hidden/>
    <w:uiPriority w:val="99"/>
    <w:semiHidden/>
    <w:rsid w:val="009D448B"/>
    <w:pPr>
      <w:suppressAutoHyphens w:val="0"/>
    </w:pPr>
  </w:style>
  <w:style w:type="character" w:styleId="Refdecomentario">
    <w:name w:val="annotation reference"/>
    <w:basedOn w:val="Fuentedeprrafopredeter"/>
    <w:uiPriority w:val="99"/>
    <w:semiHidden/>
    <w:unhideWhenUsed/>
    <w:rsid w:val="00DA63CF"/>
    <w:rPr>
      <w:sz w:val="16"/>
      <w:szCs w:val="16"/>
    </w:rPr>
  </w:style>
  <w:style w:type="paragraph" w:styleId="Textocomentario">
    <w:name w:val="annotation text"/>
    <w:basedOn w:val="Normal"/>
    <w:link w:val="TextocomentarioCar"/>
    <w:uiPriority w:val="99"/>
    <w:unhideWhenUsed/>
    <w:rsid w:val="00DA63CF"/>
    <w:pPr>
      <w:spacing w:line="240" w:lineRule="auto"/>
    </w:pPr>
    <w:rPr>
      <w:sz w:val="20"/>
      <w:szCs w:val="20"/>
    </w:rPr>
  </w:style>
  <w:style w:type="character" w:customStyle="1" w:styleId="TextocomentarioCar">
    <w:name w:val="Texto comentario Car"/>
    <w:basedOn w:val="Fuentedeprrafopredeter"/>
    <w:link w:val="Textocomentario"/>
    <w:uiPriority w:val="99"/>
    <w:rsid w:val="00DA63CF"/>
    <w:rPr>
      <w:sz w:val="20"/>
      <w:szCs w:val="20"/>
    </w:rPr>
  </w:style>
  <w:style w:type="paragraph" w:styleId="Asuntodelcomentario">
    <w:name w:val="annotation subject"/>
    <w:basedOn w:val="Textocomentario"/>
    <w:next w:val="Textocomentario"/>
    <w:link w:val="AsuntodelcomentarioCar"/>
    <w:uiPriority w:val="99"/>
    <w:semiHidden/>
    <w:unhideWhenUsed/>
    <w:rsid w:val="00DA63CF"/>
    <w:rPr>
      <w:b/>
      <w:bCs/>
    </w:rPr>
  </w:style>
  <w:style w:type="character" w:customStyle="1" w:styleId="AsuntodelcomentarioCar">
    <w:name w:val="Asunto del comentario Car"/>
    <w:basedOn w:val="TextocomentarioCar"/>
    <w:link w:val="Asuntodelcomentario"/>
    <w:uiPriority w:val="99"/>
    <w:semiHidden/>
    <w:rsid w:val="00DA63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1539</Words>
  <Characters>8466</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Comunicación Oficial</vt:lpstr>
    </vt:vector>
  </TitlesOfParts>
  <Company>HP</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ANDRES FELIPE PERDOMO HERRERA</cp:lastModifiedBy>
  <cp:revision>47</cp:revision>
  <dcterms:created xsi:type="dcterms:W3CDTF">2023-05-19T18:25:00Z</dcterms:created>
  <dcterms:modified xsi:type="dcterms:W3CDTF">2026-06-17T18:59:00Z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